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</w:pPr>
      <w:r>
        <w:t>YouTube media kit</w:t>
      </w:r>
    </w:p>
    <w:p>
      <w:pPr>
        <w:pStyle w:val="Subtitle"/>
        <w:spacing w:after="120"/>
      </w:pPr>
      <w:r>
        <w:t>Fictional filled example</w:t>
      </w:r>
    </w:p>
    <w:p>
      <w:pPr>
        <w:spacing w:after="120"/>
      </w:pPr>
      <w:r>
        <w:t>All names and figures below are invented to demonstrate the template. They are not results, benchmarks or a real creator profile.</w:t>
      </w:r>
    </w:p>
    <w:p>
      <w:pPr>
        <w:pStyle w:val="Heading1"/>
        <w:spacing w:after="120"/>
      </w:pPr>
      <w:r>
        <w:t>Channel and audience</w:t>
      </w:r>
    </w:p>
    <w:p>
      <w:pPr>
        <w:spacing w:after="120"/>
      </w:pPr>
      <w:r>
        <w:t>Desk Workshop | Practical desk setup tutorials for remote workers. YouTube channel URL: replace with your own. Snapshot date: August 31, 2026.</w:t>
      </w:r>
    </w:p>
    <w:p>
      <w:pPr>
        <w:spacing w:after="120"/>
      </w:pPr>
      <w:r>
        <w:t>Top geographies by watch time: US 46%, UK 17%, Canada 9%. Reporting window: August 1–28, 2026. Source in a real kit: YouTube Studio Audience export.</w:t>
      </w:r>
    </w:p>
    <w:p>
      <w:pPr>
        <w:pStyle w:val="Heading1"/>
        <w:spacing w:after="120"/>
      </w:pPr>
      <w:r>
        <w:t>Performance by format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tblHeader/>
        </w:trP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Metric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Value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AF2FF"/>
          </w:tcPr>
          <w:p>
            <w:pPr>
              <w:spacing w:after="40"/>
            </w:pPr>
            <w:r>
              <w:rPr>
                <w:b/>
                <w:sz w:val="18"/>
              </w:rPr>
              <w:t>Window and sample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Subscribers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18,000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Snapshot date above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Long-form median views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21,400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First 7 days; 6 videos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Shorts median engaged views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48,000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First 7 days; 9 Shorts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Upload cohort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July 1–August 21, 2026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Every included upload reached day 7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Source and exclusions</w:t>
            </w:r>
          </w:p>
        </w:tc>
        <w:tc>
          <w:tcPr>
            <w:tcW w:type="dxa" w:w="252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Fictional demonstration</w:t>
            </w:r>
          </w:p>
        </w:tc>
        <w:tc>
          <w:tcPr>
            <w:tcW w:type="dxa" w:w="41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40"/>
            </w:pPr>
            <w:r>
              <w:rPr>
                <w:sz w:val="18"/>
              </w:rPr>
              <w:t>Organic uploads; no livestreams</w:t>
            </w:r>
          </w:p>
        </w:tc>
      </w:tr>
    </w:tbl>
    <w:p>
      <w:pPr>
        <w:pStyle w:val="Heading1"/>
        <w:spacing w:after="120"/>
      </w:pPr>
      <w:r>
        <w:t>Content and collaboration</w:t>
      </w:r>
    </w:p>
    <w:p>
      <w:pPr>
        <w:spacing w:after="120"/>
      </w:pPr>
      <w:r>
        <w:t>Portfolio: desk cable-management tutorial; compact microphone comparison. Replace these labels with two public video links before using this file.</w:t>
      </w:r>
    </w:p>
    <w:p>
      <w:pPr>
        <w:spacing w:after="120"/>
      </w:pPr>
      <w:r>
        <w:t>Proposed integration: one 60-second demonstration in a desk setup tutorial, with one description link. Timing: discuss after brief approval. Usage rights, paid amplification, exclusivity and revisions: agree separately. Fee: quote after the brief.</w:t>
      </w:r>
    </w:p>
    <w:p>
      <w:pPr>
        <w:pStyle w:val="Heading1"/>
        <w:spacing w:after="120"/>
      </w:pPr>
      <w:r>
        <w:t>Business contact</w:t>
      </w:r>
    </w:p>
    <w:p>
      <w:pPr>
        <w:spacing w:after="120"/>
      </w:pPr>
      <w:r>
        <w:t>Alex Example | partnerships@example.com | Ask for a campaign brief and target publication date. This is a fictional contact.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YouTube media kit filled example</dc:title>
  <dc:subject/>
  <dc:creator>Mysocial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